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79D8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De gezondheidspatronen volgens Gordon</w:t>
      </w:r>
    </w:p>
    <w:p w14:paraId="6B1279D9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1279DA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1279DB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1- Patroon van gezondheidsbeleving en -instandhouding</w:t>
      </w:r>
    </w:p>
    <w:p w14:paraId="6B1279DC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patroon van gezondheidsbeleving en -instandhouding omvat wat de patiënt van zijn</w:t>
      </w:r>
    </w:p>
    <w:p w14:paraId="6B1279DD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gezondheid en welzijn vindt en hoe hij voor zijn gezondheid zorgt. Het gaat om de wijze waarop</w:t>
      </w:r>
    </w:p>
    <w:p w14:paraId="6B1279DE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patiënt zijn gezondheid beleeft in relatie met zijn huidige en toekomstige activiteiten. Daartoe</w:t>
      </w:r>
    </w:p>
    <w:p w14:paraId="6B1279DF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horen ook de omgang met gezondheidsrisico's en het algehele gezondheidsgedrag zoals</w:t>
      </w:r>
    </w:p>
    <w:p w14:paraId="6B1279E0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activiteiten m.b.t. de geestelijke en lichamelijke gezondheid, het opvolgen van gezondheidsvoorschriften</w:t>
      </w:r>
    </w:p>
    <w:p w14:paraId="6B1279E1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 medewerking aan nazorg.</w:t>
      </w:r>
    </w:p>
    <w:p w14:paraId="6B1279E2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9E3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2- Voeding/stofwisselingspatroon</w:t>
      </w:r>
    </w:p>
    <w:p w14:paraId="6B1279E4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patroon bevat de inname van vocht en voedsel in verhouding tot de fysiologische behoeften,</w:t>
      </w:r>
    </w:p>
    <w:p w14:paraId="6B1279E5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alsmede indicatoren van de plaatselijk aanwezige voedingsmiddelen. Denk hierbij aan individuele</w:t>
      </w:r>
    </w:p>
    <w:p w14:paraId="6B1279E6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eet- en drinkpatronen, de dagelijkse eettijden, soorten en hoeveelheden geconsumeerd vocht en</w:t>
      </w:r>
    </w:p>
    <w:p w14:paraId="6B1279E7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voedsel, voorkeuren voor bepaalde voedingsmiddelen en het gebruik van voedings- en</w:t>
      </w:r>
    </w:p>
    <w:p w14:paraId="6B1279E8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vitaminesupplementen. Ook borstvoeding en het voedingspatroon van zuigelingen behoren tot dit</w:t>
      </w:r>
    </w:p>
    <w:p w14:paraId="6B1279E9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patroon. Verder vallen eventuele huiddefecten en het algemene vermogen tot genezing onder dit</w:t>
      </w:r>
    </w:p>
    <w:p w14:paraId="6B1279EA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patroon. Tot slot ook de toestand van huid, haar, nagels, slijmvliezen en gebit, en </w:t>
      </w:r>
      <w:proofErr w:type="spellStart"/>
      <w:r>
        <w:rPr>
          <w:rFonts w:ascii="Arial" w:hAnsi="Arial" w:cs="Arial"/>
          <w:sz w:val="20"/>
          <w:szCs w:val="20"/>
        </w:rPr>
        <w:t>lichaamstemperatuur,lengte</w:t>
      </w:r>
      <w:proofErr w:type="spellEnd"/>
      <w:r>
        <w:rPr>
          <w:rFonts w:ascii="Arial" w:hAnsi="Arial" w:cs="Arial"/>
          <w:sz w:val="20"/>
          <w:szCs w:val="20"/>
        </w:rPr>
        <w:t xml:space="preserve"> en gewicht.</w:t>
      </w:r>
    </w:p>
    <w:p w14:paraId="6B1279EB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9EC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3- Uitscheidingspatroon</w:t>
      </w:r>
    </w:p>
    <w:p w14:paraId="6B1279ED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patroon omvat de uitscheidingsfunctie van darmen, blaas en huid. Inbegrepen zijn de</w:t>
      </w:r>
    </w:p>
    <w:p w14:paraId="6B1279EE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subjectief beleefde regelmaat van de uitscheiding, eventueel gebruik van laxantia of andere</w:t>
      </w:r>
    </w:p>
    <w:p w14:paraId="6B1279EF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middelen om de ontlasting op te wekken en eventuele veranderingen of problemen wat tijd, wijze,</w:t>
      </w:r>
    </w:p>
    <w:p w14:paraId="6B1279F0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kwaliteit en/of kwantiteit van uitscheiding betreft. Ook eventuele hulpmiddelen (katheter,</w:t>
      </w:r>
    </w:p>
    <w:p w14:paraId="6B1279F1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plaswekker, stoma-artikelen) vallen onder het uitscheidingspatroon.</w:t>
      </w:r>
    </w:p>
    <w:p w14:paraId="6B1279F2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9F3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4- Activiteitenpatroon</w:t>
      </w:r>
    </w:p>
    <w:p w14:paraId="6B1279F4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activiteitenpatroon omvat het geheel van lichaamsbeweging, activiteiten, ontspanning,</w:t>
      </w:r>
    </w:p>
    <w:p w14:paraId="6B1279F5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recreatie en vrijetijdsbesteding. Hieronder vallen alle ADL-activiteiten zoals wassen, kleden,</w:t>
      </w:r>
    </w:p>
    <w:p w14:paraId="6B1279F6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koken, boodschappen doen, eten, werken en het huishouden. Ook de soort, kwaliteit en kwantiteit</w:t>
      </w:r>
    </w:p>
    <w:p w14:paraId="6B1279F7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lichaamsbeweging en regelmatig beoefende sport horen tot dit patroon. Daarnaast zijn</w:t>
      </w:r>
    </w:p>
    <w:p w14:paraId="6B1279F8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inbegrepen factoren die een belemmering vormen voor het gewenste of verwachte individuele</w:t>
      </w:r>
    </w:p>
    <w:p w14:paraId="6B1279F9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patroon, zoals neuromusculaire functiestoornissen, benauwdheid, pijn op de borst of</w:t>
      </w:r>
    </w:p>
    <w:p w14:paraId="6B1279FA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spierkrampen bij inspanning. Tot slot maken de vrijetijdsbesteding en alle recreatieve activiteiten</w:t>
      </w:r>
    </w:p>
    <w:p w14:paraId="6B1279FB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de patiënt alleen of met anderen onderneemt, deel uit van dit patroon. De nadruk ligt op</w:t>
      </w:r>
    </w:p>
    <w:p w14:paraId="6B1279FC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activiteiten die van groot belang zijn voor de patiënt.</w:t>
      </w:r>
    </w:p>
    <w:p w14:paraId="6B1279FD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9FE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 </w:t>
      </w:r>
      <w:r>
        <w:rPr>
          <w:rFonts w:ascii="Arial" w:hAnsi="Arial" w:cs="Arial"/>
          <w:i/>
          <w:iCs/>
          <w:sz w:val="20"/>
          <w:szCs w:val="20"/>
        </w:rPr>
        <w:t>Slaap/rustpatroon</w:t>
      </w:r>
    </w:p>
    <w:p w14:paraId="6B1279FF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patroon omvat het patroon van perioden van slaap, rust en ontspanning verspreid over het</w:t>
      </w:r>
    </w:p>
    <w:p w14:paraId="6B127A00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etmaal. Hierbij horen ook de subjectieve beleving van de kwaliteit en kwantiteit van slaap en rust</w:t>
      </w:r>
    </w:p>
    <w:p w14:paraId="6B127A01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 hoeveelheid energie, en eventuele hulpmiddelen zoals slaappillen of bepaalde gewoontes</w:t>
      </w:r>
    </w:p>
    <w:p w14:paraId="6B127A02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het slapengaan.</w:t>
      </w:r>
    </w:p>
    <w:p w14:paraId="6B127A03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A04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6- Cognitiepatroon</w:t>
      </w:r>
    </w:p>
    <w:p w14:paraId="6B127A05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cognitiepatroon omvat alle cognitieve functies. Tot de cognitieve functies behoren waarnemen,</w:t>
      </w:r>
    </w:p>
    <w:p w14:paraId="6B127A06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informatie verwerken, leren, denken en problemen oplossen. Ook zijn adequaatheid van</w:t>
      </w:r>
    </w:p>
    <w:p w14:paraId="6B127A07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zien, horen, proeven, voelen, ruiken en eventuele compensatiemechanismen of prothesen</w:t>
      </w:r>
    </w:p>
    <w:p w14:paraId="6B127A08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relevant. De </w:t>
      </w:r>
      <w:proofErr w:type="spellStart"/>
      <w:r>
        <w:rPr>
          <w:rFonts w:ascii="Arial" w:hAnsi="Arial" w:cs="Arial"/>
          <w:sz w:val="20"/>
          <w:szCs w:val="20"/>
        </w:rPr>
        <w:t>pijnzin</w:t>
      </w:r>
      <w:proofErr w:type="spellEnd"/>
      <w:r>
        <w:rPr>
          <w:rFonts w:ascii="Arial" w:hAnsi="Arial" w:cs="Arial"/>
          <w:sz w:val="20"/>
          <w:szCs w:val="20"/>
        </w:rPr>
        <w:t xml:space="preserve"> en omgang met pijn vallen onder dit patroon, en het taalvermogen, geheugen,</w:t>
      </w:r>
    </w:p>
    <w:p w14:paraId="6B127A09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oordeelsvermogen en de besluitvorming.</w:t>
      </w:r>
    </w:p>
    <w:p w14:paraId="6B127A0A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A0B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7-Zelfbelevingspatroon</w:t>
      </w:r>
    </w:p>
    <w:p w14:paraId="6B127A0C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Het zelfbelevingspatroon betreft de wijze waarop iemand zichzelf ziet. Ideeën over de eigen</w:t>
      </w:r>
    </w:p>
    <w:p w14:paraId="6B127A0D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persoon, de beleving van de eigen vaardigheden (cognitief, affectief of lichamelijk), het zelfbeeld,</w:t>
      </w:r>
    </w:p>
    <w:p w14:paraId="6B127A0E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identiteit, het gevoel van eigenwaarde en het algehele patroon van emoties. Lichaamshouding,</w:t>
      </w:r>
    </w:p>
    <w:p w14:paraId="6B127A0F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motoriek, oogcontact, stem en spraak maken deel uit van dit patroon.</w:t>
      </w:r>
    </w:p>
    <w:p w14:paraId="6B127A10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127A11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127A12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8- </w:t>
      </w:r>
      <w:r>
        <w:rPr>
          <w:rFonts w:ascii="Arial" w:hAnsi="Arial" w:cs="Arial"/>
          <w:i/>
          <w:iCs/>
          <w:color w:val="000000"/>
          <w:sz w:val="20"/>
          <w:szCs w:val="20"/>
        </w:rPr>
        <w:t>Rollen/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relatiespatroon</w:t>
      </w:r>
      <w:proofErr w:type="spellEnd"/>
    </w:p>
    <w:p w14:paraId="6B127A13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Dit patroon omvat de belangrijkste rollen en verantwoordelijkheden van de patiënt in zijn huidige</w:t>
      </w:r>
    </w:p>
    <w:p w14:paraId="6B127A14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levenssituatie en zijn familie-, gezins-, werk- en sociale relaties met de bijbehorende</w:t>
      </w:r>
    </w:p>
    <w:p w14:paraId="6B127A15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verantwoordelijkheden. Ook de subjectieve beleving van de rollen en relaties, de tevredenheid</w:t>
      </w:r>
    </w:p>
    <w:p w14:paraId="6B127A16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van de patiënt ermee en eventuele verstoringen horen tot het patroon.</w:t>
      </w:r>
    </w:p>
    <w:p w14:paraId="6B127A17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127A18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9-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Seksualiteit/voortplantingspatroon</w:t>
      </w:r>
    </w:p>
    <w:p w14:paraId="6B127A19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Het seksualiteit/voortplantingspatroon omvat de seksuele relaties, seksualiteitsbeleving en het</w:t>
      </w:r>
    </w:p>
    <w:p w14:paraId="6B127A1A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voortplantingspatroon, en de mate van (on)tevredenheid hiermee en eventuele subjectief ervaren</w:t>
      </w:r>
    </w:p>
    <w:p w14:paraId="6B127A1B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problemen. Ook zijn de vruchtbaarheid, maturiteitsfase (premenopauze, overgang, postmenopauze)</w:t>
      </w:r>
    </w:p>
    <w:p w14:paraId="6B127A1C" w14:textId="77777777" w:rsidR="00052017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eventuele subjectief ervaren problemen van belang.</w:t>
      </w:r>
    </w:p>
    <w:p w14:paraId="6B127A1D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127A1E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10- Stressverwerkingspatroon</w:t>
      </w:r>
    </w:p>
    <w:p w14:paraId="6B127A1F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stressverwerkingspatroon omvat de wijze waarop iemand in het algemeen met problemen en</w:t>
      </w:r>
    </w:p>
    <w:p w14:paraId="6B127A20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stress omspringt. Inbegrepen zijn de reserve, de draagkracht of het vermogen om persoonlijke</w:t>
      </w:r>
    </w:p>
    <w:p w14:paraId="6B127A21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crises te doorstaan, coping-mechanismen, steun van familie of anderen en het subjectief ervaren</w:t>
      </w:r>
    </w:p>
    <w:p w14:paraId="6B127A22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vermogen om macht over de situatie uit te oefenen.</w:t>
      </w:r>
    </w:p>
    <w:p w14:paraId="6B127A23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27A24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11- Waarden/overtuigingenpatroon</w:t>
      </w:r>
    </w:p>
    <w:p w14:paraId="6B127A25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patroon omvat de waarden, normen, doelstellingen en overtuigingen waarop iemand zijn</w:t>
      </w:r>
    </w:p>
    <w:p w14:paraId="6B127A26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keuzes en beslissingen baseert. Inbegrepen zijn wat iemand belangrijk acht in het leven, en</w:t>
      </w:r>
    </w:p>
    <w:p w14:paraId="6B127A27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eventuele subjectief ervaren conflicten tussen bepaalde waarden, overtuigingen of verwachtingen</w:t>
      </w:r>
    </w:p>
    <w:p w14:paraId="6B127A28" w14:textId="77777777" w:rsidR="00F517A1" w:rsidRDefault="00F517A1" w:rsidP="00F517A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ten aanzien van de gezondheid.</w:t>
      </w:r>
    </w:p>
    <w:sectPr w:rsidR="00F5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A1"/>
    <w:rsid w:val="00052017"/>
    <w:rsid w:val="007D4E86"/>
    <w:rsid w:val="007D4FD1"/>
    <w:rsid w:val="00F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79D8"/>
  <w15:docId w15:val="{5B517672-0014-475E-8143-9A37058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C62AE-8411-48E0-AA72-65C9AC7E9445}">
  <ds:schemaRefs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BCBF0-7470-42B7-A583-6BF8C5C69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FAF1E-7B82-4E54-A9C3-040BB890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Titia Schokker</cp:lastModifiedBy>
  <cp:revision>2</cp:revision>
  <dcterms:created xsi:type="dcterms:W3CDTF">2017-05-05T13:56:00Z</dcterms:created>
  <dcterms:modified xsi:type="dcterms:W3CDTF">2017-05-05T13:56:00Z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